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  <w:t>劳动人事争议仲裁申请材料清单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如果您需通过邮递方式提交仲裁申请，应向本委提交以下材料：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1.申请书（份数：被申请人人数+第三人人数+1）；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2.身份证明（通过电子邮件预申请时不需提供，预审合格向我委邮寄正式申请材料时务必提供）；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3.与被申请人具有劳动人事关系的证据；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4.劳动人事争议调解仲裁文书送达信息确认书。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6" w:firstLineChars="110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宝鸡市劳动人事争议仲裁委员会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6" w:firstLineChars="140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2023年4月6日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7423F41"/>
    <w:rsid w:val="374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2023-05-12T01:27:00Z</dcterms:created>
  <dc:creator>尘葑·记忆</dc:creator>
  <cp:lastModifiedBy>尘葑·记忆</cp:lastModifiedBy>
  <dcterms:modified xsi:type="dcterms:W3CDTF">2023-05-12T01:27:36Z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E8976B77BD554C9F88F2FD04DD596FE3_11</vt:lpwstr>
  </property>
</Properties>
</file>